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9823" w14:textId="74C9D94D" w:rsidR="00041C02" w:rsidRDefault="00041C02" w:rsidP="00041C02">
      <w:pPr>
        <w:pStyle w:val="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UCU feedback on </w:t>
      </w:r>
      <w:r w:rsidR="00F90751">
        <w:rPr>
          <w:rFonts w:eastAsia="Times New Roman"/>
          <w:lang w:eastAsia="en-GB"/>
        </w:rPr>
        <w:t>changes to Promotions framework and criteria (academic, technical specialist)</w:t>
      </w:r>
    </w:p>
    <w:p w14:paraId="7F3AD8AF" w14:textId="77777777" w:rsidR="00C56100" w:rsidRDefault="00C56100" w:rsidP="00C56100">
      <w:pPr>
        <w:rPr>
          <w:lang w:eastAsia="en-GB"/>
        </w:rPr>
      </w:pPr>
    </w:p>
    <w:p w14:paraId="0693C36B" w14:textId="04396FAB" w:rsidR="008B39FA" w:rsidRDefault="008B39FA" w:rsidP="00041C02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GENERAL COMMENT(S)</w:t>
      </w:r>
    </w:p>
    <w:p w14:paraId="38FB01AC" w14:textId="48324EA0" w:rsidR="008B39FA" w:rsidRDefault="008B39FA" w:rsidP="005E2024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5E2024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There are frequent mentions of making an impact 'beyond your school/faculty'.  This wording needs updating</w:t>
      </w:r>
      <w:r w:rsidR="0041428F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</w:t>
      </w:r>
      <w:r w:rsidRPr="005E2024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</w:t>
      </w:r>
      <w:r w:rsidR="0041428F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given </w:t>
      </w:r>
      <w:r w:rsidRPr="005E2024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the </w:t>
      </w:r>
      <w:r w:rsidR="0041428F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proposed </w:t>
      </w:r>
      <w:r w:rsidRPr="005E2024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new university structure.  To make an impact at 'school/faculty' level will be a higher bar in future, so it needs rewording to 'department/school' for the new structure.</w:t>
      </w:r>
    </w:p>
    <w:p w14:paraId="2D211A8B" w14:textId="54D19B15" w:rsidR="005E2024" w:rsidRDefault="005E2024" w:rsidP="005E2024">
      <w:pPr>
        <w:pStyle w:val="ListParagraph"/>
        <w:numPr>
          <w:ilvl w:val="0"/>
          <w:numId w:val="40"/>
        </w:num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There have been suggestions of an </w:t>
      </w:r>
      <w:r w:rsidR="00A72C87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interim promotion level </w:t>
      </w:r>
      <w:r w:rsidR="00A72C87" w:rsidRPr="00A72C87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 to ensure realistic career progression in time and avoid leaving staff stuck indefinitely at </w:t>
      </w:r>
      <w:r w:rsidR="00A72C87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the same level (often level 5)</w:t>
      </w:r>
    </w:p>
    <w:p w14:paraId="5D4C86E5" w14:textId="6C4D47C4" w:rsidR="00211018" w:rsidRDefault="00404F85" w:rsidP="00041C02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FEEDBACK ON </w:t>
      </w:r>
      <w:r w:rsidRPr="00211018">
        <w:rPr>
          <w:rFonts w:eastAsia="Times New Roman"/>
          <w:lang w:eastAsia="en-GB"/>
        </w:rPr>
        <w:t xml:space="preserve">ACADEMIC PROMOTIONS </w:t>
      </w:r>
    </w:p>
    <w:p w14:paraId="5BDFE398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1. Introduction of the A/B/C model (core, choice, excellence)</w:t>
      </w:r>
    </w:p>
    <w:p w14:paraId="0CCF094C" w14:textId="77777777" w:rsidR="00211018" w:rsidRDefault="00211018" w:rsidP="002110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Greater flexibility in principle, but wording such as “above discipline norms” and “availability of opportunity” leaves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wide managerial discretion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over what counts as “meeting” a criterion. Also a potential equity issue, particularly for underrepresented or part-time staff.</w:t>
      </w:r>
    </w:p>
    <w:p w14:paraId="44CB11E5" w14:textId="49FDDAF2" w:rsidR="005B2053" w:rsidRPr="005B2053" w:rsidRDefault="005B2053" w:rsidP="005B2053">
      <w:pPr>
        <w:pStyle w:val="ListParagraph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The</w:t>
      </w:r>
      <w:r w:rsidRPr="005B2053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distinction between A (core), B (choice) and C (additional excellence) risks creating </w:t>
      </w:r>
      <w:r w:rsidRPr="00337E47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subjective interpretations across faculties</w:t>
      </w:r>
      <w:r w:rsidRPr="005B2053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. Clear written assurance should state that meeting all A criteria constitutes a sufficient basis for promotion, and that absence of C-level evidence cannot disadvantage a candidate.</w:t>
      </w:r>
    </w:p>
    <w:p w14:paraId="766E2018" w14:textId="6BF835F7" w:rsidR="00A12B4A" w:rsidRPr="00A12B4A" w:rsidRDefault="00A12B4A" w:rsidP="00A12B4A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 w:rsidRPr="00A12B4A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The new ABC model substantially </w:t>
      </w:r>
      <w:r w:rsidRPr="005224F2">
        <w:rPr>
          <w:rFonts w:ascii="Aptos" w:eastAsia="Times New Roman" w:hAnsi="Aptos" w:cs="Times New Roman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increases the documentation and mapping required</w:t>
      </w:r>
      <w:r w:rsidRPr="00A12B4A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for applicants</w:t>
      </w:r>
      <w:r w:rsidR="00FA27CD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, </w:t>
      </w:r>
      <w:r w:rsidRPr="00A12B4A">
        <w:rPr>
          <w:rFonts w:ascii="Aptos" w:eastAsia="Times New Roman" w:hAnsi="Aptos" w:cs="Times New Roman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likely to lengthen both preparation and review time</w:t>
      </w:r>
      <w:r w:rsidRPr="00A12B4A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>.</w:t>
      </w:r>
    </w:p>
    <w:p w14:paraId="79D22A32" w14:textId="77777777" w:rsidR="00A12B4A" w:rsidRDefault="00A12B4A" w:rsidP="00A12B4A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 w:rsidRPr="00A12B4A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This will necessitate </w:t>
      </w:r>
      <w:r w:rsidRPr="00A12B4A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piloting</w:t>
      </w:r>
      <w:r w:rsidRPr="00A12B4A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with optional adoption for one year and providing a simplified guidance matrix or self-assessment template if the model is retained.</w:t>
      </w:r>
    </w:p>
    <w:p w14:paraId="52B755D6" w14:textId="24487368" w:rsidR="006F5427" w:rsidRDefault="00D62452" w:rsidP="00546D8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Some of the requirements are </w:t>
      </w:r>
      <w:r w:rsidRPr="00FA27C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unrealistic</w:t>
      </w: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BA6659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and do not consider </w:t>
      </w:r>
      <w:r w:rsidR="00BA6659" w:rsidRPr="00FA27C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differences between disciplines</w:t>
      </w:r>
      <w:r w:rsidR="00BA6659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enough (see more specific examples on this below)</w:t>
      </w:r>
      <w:r w:rsidR="00A73229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729CDBDD" w14:textId="3E0AA081" w:rsidR="000772F4" w:rsidRDefault="000772F4" w:rsidP="00546D8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This also applies to </w:t>
      </w:r>
      <w:r w:rsidR="007C79E9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the requirement to obtain both </w:t>
      </w:r>
      <w:r w:rsidR="002B6B39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outputs and funding </w:t>
      </w:r>
      <w:r w:rsidR="00FB6CEA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as essential for R&amp;T, when those vary greatly</w:t>
      </w:r>
      <w:r w:rsidR="008259BD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. These 2 categories should be merged as one, so that if one </w:t>
      </w:r>
      <w:r w:rsidR="00A95E7D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only is obtained, but consequential enough, it does not necessarily require the other one</w:t>
      </w:r>
    </w:p>
    <w:p w14:paraId="5E323A2D" w14:textId="72339E3F" w:rsidR="00546D8E" w:rsidRDefault="00A73229" w:rsidP="00546D8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There </w:t>
      </w:r>
      <w:r w:rsidR="00BA6659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are</w:t>
      </w: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concerns that </w:t>
      </w:r>
      <w:r w:rsidR="00D60F38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those not meeting the criteria could be put on </w:t>
      </w:r>
      <w:r w:rsidR="00D60F38" w:rsidRPr="00FA27C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performance management</w:t>
      </w:r>
      <w:r w:rsidR="006F5427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, which is</w:t>
      </w:r>
      <w:r w:rsidR="009341B8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also problematic from an </w:t>
      </w:r>
      <w:r w:rsidR="009341B8" w:rsidRPr="00FA27C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EDI</w:t>
      </w:r>
      <w:r w:rsidR="009341B8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perspective.</w:t>
      </w:r>
    </w:p>
    <w:p w14:paraId="1A93BCDC" w14:textId="77777777" w:rsidR="002315EA" w:rsidRDefault="002315EA" w:rsidP="002315E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</w:p>
    <w:p w14:paraId="15BAE559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2. Removal of external engagement as a core requirement</w:t>
      </w:r>
    </w:p>
    <w:p w14:paraId="3DFD5542" w14:textId="6487E2CA" w:rsidR="00211018" w:rsidRDefault="00211018" w:rsidP="002110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lastRenderedPageBreak/>
        <w:t xml:space="preserve">Now optional (“C” criterion). While this reduces burden, it may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devalue civic and outreach work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which contributes to the university’s stated strategic aims</w:t>
      </w: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(valued publicly, but undervalued internally)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.</w:t>
      </w:r>
    </w:p>
    <w:p w14:paraId="3ABC9B38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3. New or expanded financial expectations</w:t>
      </w:r>
    </w:p>
    <w:p w14:paraId="1AE8B139" w14:textId="6F22EE91" w:rsidR="00211018" w:rsidRDefault="00211018" w:rsidP="002110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The new framework introduces explicit expectations around </w:t>
      </w:r>
      <w:r w:rsidRPr="007066AA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financial growth and sustainability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including income generation and cost-conscious activity.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br/>
        <w:t xml:space="preserve">→ Could </w:t>
      </w:r>
      <w:r w:rsidRPr="007066AA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incentivise commercialisation over scholarship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and disadvantage disciplines or roles </w:t>
      </w:r>
      <w:r w:rsidR="00B03CBF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with </w:t>
      </w:r>
      <w:r w:rsidR="00B90167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limited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access to external income.</w:t>
      </w:r>
    </w:p>
    <w:p w14:paraId="0462F4D8" w14:textId="36C16203" w:rsidR="0022232C" w:rsidRDefault="0022232C" w:rsidP="0022232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 w:rsidRPr="00902154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Introducing “Financial Growth and Sustainability” as a measurable criterion within all pathways risks </w:t>
      </w:r>
      <w:r w:rsidRPr="00232507">
        <w:rPr>
          <w:rFonts w:ascii="Aptos" w:eastAsia="Times New Roman" w:hAnsi="Aptos" w:cs="Times New Roman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penalising those in teaching-only roles where direct revenue generation is unrealistic</w:t>
      </w:r>
      <w:r w:rsidRPr="00902154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>.</w:t>
      </w:r>
      <w:r w:rsidR="00902154" w:rsidRPr="00902154">
        <w:rPr>
          <w:rFonts w:ascii="Aptos" w:eastAsia="Times New Roman" w:hAnsi="Aptos" w:cs="Times New Roman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22232C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sym w:font="Wingdings" w:char="F0E0"/>
      </w:r>
      <w:r w:rsidRPr="00902154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This should not form part of the essential expectations for the T&amp;CL pathway at any level.</w:t>
      </w:r>
    </w:p>
    <w:p w14:paraId="5F138831" w14:textId="77777777" w:rsidR="00BA441D" w:rsidRDefault="0060461D" w:rsidP="0022232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Making </w:t>
      </w:r>
      <w:r w:rsidR="00F32959" w:rsidRPr="00C23D30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research income </w:t>
      </w:r>
      <w:r w:rsidR="00CF1F30" w:rsidRPr="00C23D30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procurement “essential”</w:t>
      </w:r>
      <w:r w:rsidR="00CF1F30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6C7EE5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for level 5 </w:t>
      </w:r>
      <w:r w:rsidR="007A2632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(potentially also L6) </w:t>
      </w:r>
      <w:r w:rsidR="006C7EE5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R&amp;T is problematic, and can put some staff at a disadvantage </w:t>
      </w:r>
      <w:r w:rsidR="00631471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due to </w:t>
      </w:r>
      <w:r w:rsidR="00631471" w:rsidRPr="00B90167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inequalities in </w:t>
      </w:r>
      <w:r w:rsidR="00DF4210" w:rsidRPr="00B90167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external funding availability</w:t>
      </w:r>
      <w:r w:rsidR="007A2632" w:rsidRPr="00B90167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according to the discipline</w:t>
      </w:r>
      <w:r w:rsidR="00002ED4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5E5A5B1C" w14:textId="22E83401" w:rsidR="0082480F" w:rsidRPr="00902154" w:rsidRDefault="0082480F" w:rsidP="0022232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Although a</w:t>
      </w:r>
      <w:r w:rsidR="00A71036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n optional requirement,</w:t>
      </w:r>
      <w:r w:rsidR="006E6F95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the form should ensure that</w:t>
      </w:r>
      <w:r w:rsidR="00A71036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A71036" w:rsidRPr="001F7B2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external income obte</w:t>
      </w:r>
      <w:r w:rsidR="00717DD5" w:rsidRPr="001F7B2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ntion for </w:t>
      </w:r>
      <w:r w:rsidR="00C27DE2" w:rsidRPr="001F7B2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staff on </w:t>
      </w:r>
      <w:r w:rsidR="00717DD5" w:rsidRPr="001F7B2D">
        <w:rPr>
          <w:rFonts w:ascii="Aptos" w:eastAsia="Times New Roman" w:hAnsi="Aptos" w:cs="Arial"/>
          <w:b/>
          <w:bCs/>
          <w:noProof w:val="0"/>
          <w:color w:val="000000"/>
          <w:kern w:val="0"/>
          <w:sz w:val="24"/>
          <w:szCs w:val="24"/>
          <w:lang w:eastAsia="en-GB"/>
          <w14:ligatures w14:val="none"/>
        </w:rPr>
        <w:t>T&amp;CL pathway</w:t>
      </w:r>
      <w:r w:rsidR="00717DD5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6E6F95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 xml:space="preserve">does not become an expectation, as opportunities for </w:t>
      </w:r>
      <w:r w:rsidR="00C27DE2">
        <w:rPr>
          <w:rFonts w:ascii="Aptos" w:eastAsia="Times New Roman" w:hAnsi="Aptos" w:cs="Arial"/>
          <w:noProof w:val="0"/>
          <w:color w:val="000000"/>
          <w:kern w:val="0"/>
          <w:sz w:val="24"/>
          <w:szCs w:val="24"/>
          <w:lang w:eastAsia="en-GB"/>
          <w14:ligatures w14:val="none"/>
        </w:rPr>
        <w:t>these staff members are limited.</w:t>
      </w:r>
    </w:p>
    <w:p w14:paraId="6BE39406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4. Integration of PGR supervision into “leading excellence in RKE” (where available)</w:t>
      </w:r>
    </w:p>
    <w:p w14:paraId="14B28C7D" w14:textId="5D963A86" w:rsidR="00211018" w:rsidRDefault="00211018" w:rsidP="002110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PGR supervision and leadership criteria include wording like </w:t>
      </w:r>
      <w:r w:rsidRPr="007066AA">
        <w:rPr>
          <w:rFonts w:asciiTheme="minorHAnsi" w:eastAsia="Times New Roman" w:hAnsiTheme="minorHAnsi" w:cs="Times New Roman"/>
          <w:i/>
          <w:iCs/>
          <w:noProof w:val="0"/>
          <w:kern w:val="0"/>
          <w:sz w:val="24"/>
          <w:szCs w:val="24"/>
          <w:lang w:eastAsia="en-GB"/>
          <w14:ligatures w14:val="none"/>
        </w:rPr>
        <w:t>“where there is availability of opportunity”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.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br/>
        <w:t>→ While this attempts fairness, in practice</w:t>
      </w: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it could </w:t>
      </w:r>
      <w:r w:rsidRPr="007066AA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disadvantage staff in departments with fewer research students or leadership roles</w:t>
      </w:r>
      <w:r w:rsidRPr="007066AA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reinforcing structural inequalities unless clear mitigations and guidance are in place</w:t>
      </w:r>
    </w:p>
    <w:p w14:paraId="4B42FA34" w14:textId="6ED31A00" w:rsidR="00636E80" w:rsidRDefault="003B555E" w:rsidP="0070198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S</w:t>
      </w:r>
      <w:r w:rsidR="000574A9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ome areas have more </w:t>
      </w:r>
      <w:r w:rsidR="000574A9" w:rsidRPr="00F51CD3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PGR funding</w:t>
      </w:r>
      <w:r w:rsidR="000574A9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available than others</w:t>
      </w: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, and </w:t>
      </w:r>
      <w:r w:rsidR="00B1022E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opportunities for PGR supervision can differ from </w:t>
      </w:r>
      <w:r w:rsidR="0070198E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one School to another, or even among staff within the same School. These</w:t>
      </w:r>
      <w:r w:rsidR="00F51CD3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imbalances need to be accounted for.</w:t>
      </w:r>
    </w:p>
    <w:p w14:paraId="20C456E0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5. Expanded and clarified leadership expectations</w:t>
      </w:r>
    </w:p>
    <w:p w14:paraId="2745A372" w14:textId="77777777" w:rsidR="00211018" w:rsidRPr="00211018" w:rsidRDefault="00211018" w:rsidP="002110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Consolidation of “academic citizenship” into broader “developing others” and “leading excellence” categories.</w:t>
      </w:r>
    </w:p>
    <w:p w14:paraId="359C1E9D" w14:textId="77777777" w:rsidR="00211018" w:rsidRDefault="00211018" w:rsidP="002110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While this makes progression routes more explicit, it also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elevates leadership expectations at all levels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which may be unrealistic for some staff groups.</w:t>
      </w:r>
    </w:p>
    <w:p w14:paraId="3B20A469" w14:textId="2EB2D4C0" w:rsidR="003B1CD2" w:rsidRPr="00211018" w:rsidRDefault="001F5066" w:rsidP="002110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Leadership roles </w:t>
      </w:r>
      <w:r w:rsidRPr="008E18B7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depend on the Head of School</w:t>
      </w: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and the amount of these leadership admin roles are </w:t>
      </w:r>
      <w:r w:rsidRPr="008E18B7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limited</w:t>
      </w:r>
      <w:r w:rsidR="00131BC9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, so if a staff member isn’t picked up, they cannot contribute to these. This is therefore and </w:t>
      </w:r>
      <w:r w:rsidR="00131BC9" w:rsidRPr="008E18B7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inbuilt arbitrariness</w:t>
      </w:r>
      <w:r w:rsidR="00017649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. It is also </w:t>
      </w:r>
      <w:r w:rsidR="00017649" w:rsidRPr="008E18B7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demeaning</w:t>
      </w:r>
      <w:r w:rsidR="00017649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to those who contribute to the non-leadership admin jobs, but which are essential to the school</w:t>
      </w:r>
      <w:r w:rsidR="00390391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and is problematic, if only from an EDI perspective.</w:t>
      </w:r>
    </w:p>
    <w:p w14:paraId="414F2A7A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6. Enhanced illustrative examples and refined outputs criteria</w:t>
      </w:r>
    </w:p>
    <w:p w14:paraId="151D6210" w14:textId="77777777" w:rsidR="00211018" w:rsidRPr="00211018" w:rsidRDefault="00211018" w:rsidP="002110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lastRenderedPageBreak/>
        <w:t>Inclusion of examples for different output types (research, scholarly, other) is helpful.</w:t>
      </w:r>
    </w:p>
    <w:p w14:paraId="2347CE31" w14:textId="77777777" w:rsidR="00211018" w:rsidRDefault="00211018" w:rsidP="002110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However, the inclusion of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quantitative indicators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(e.g. “4 high-quality outputs,” “exceeding KPIs”) could formalise pressure toward metric-based evaluation.</w:t>
      </w:r>
    </w:p>
    <w:p w14:paraId="0118ECD3" w14:textId="470112F2" w:rsidR="00DA1E48" w:rsidRPr="00211018" w:rsidRDefault="00DA1E48" w:rsidP="002110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For </w:t>
      </w:r>
      <w:r w:rsidR="00794E89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research and scholarly outputs, </w:t>
      </w:r>
      <w:r w:rsidR="00EA00A3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the precision “external” should be added to any mention of “peer-review” to </w:t>
      </w:r>
      <w:r w:rsidR="00E606A6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ensure fairness and impartial evaluation.</w:t>
      </w:r>
      <w:r w:rsidR="00EA00A3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4BDE121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7. Adjusted Education and Student Experience (ESE) criteria</w:t>
      </w:r>
    </w:p>
    <w:p w14:paraId="537272B9" w14:textId="77777777" w:rsidR="00211018" w:rsidRPr="00211018" w:rsidRDefault="00211018" w:rsidP="002110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Introduction of a distinct “Enhancing the Student Experience” area recognises pastoral and student support work.</w:t>
      </w:r>
    </w:p>
    <w:p w14:paraId="68A804D6" w14:textId="77777777" w:rsidR="00211018" w:rsidRDefault="00211018" w:rsidP="002110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Positive development, but evidence requirements (data, outcomes) may still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over-rely on metrics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such as NSS or attainment data.</w:t>
      </w:r>
    </w:p>
    <w:p w14:paraId="3DF96F75" w14:textId="12F85E4C" w:rsidR="004B76C7" w:rsidRPr="007E46BC" w:rsidRDefault="003D4F92" w:rsidP="007E46B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3D4F92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‘Education: Enhancing the Student Experience’, for level 7, there is now a requirement to ‘impact upon a significant number of students </w:t>
      </w:r>
      <w:r w:rsidRPr="003D4F92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beyond</w:t>
      </w:r>
      <w:r w:rsidRPr="003D4F92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 your disciplin</w:t>
      </w:r>
      <w:r w:rsidR="001279ED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e</w:t>
      </w:r>
      <w:r w:rsidRPr="003D4F92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’</w:t>
      </w:r>
      <w:r w:rsidR="001279ED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(emphasis added). </w:t>
      </w:r>
      <w:r w:rsidR="007E46B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br/>
      </w:r>
      <w:r w:rsidR="007E46BC" w:rsidRPr="007E46B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sym w:font="Wingdings" w:char="F0E0"/>
      </w:r>
      <w:r w:rsidR="007E46B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</w:t>
      </w:r>
      <w:r w:rsidR="007E46BC" w:rsidRPr="007E46B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It will be difficult for all those going for promotion to have the opportunity to demonstrate impact beyond their discipline; there will only be a few similar opportunities within the university.  If the word ‘beyond’ is removed</w:t>
      </w:r>
      <w:r w:rsidR="007E46B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then this gives opportunities within the discipline,</w:t>
      </w:r>
      <w:r w:rsidR="007E46BC" w:rsidRPr="007E46B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but at a national level.</w:t>
      </w:r>
    </w:p>
    <w:p w14:paraId="10CE7996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8. Streamlined citizenship criteria</w:t>
      </w:r>
    </w:p>
    <w:p w14:paraId="170B21ED" w14:textId="77874CFA" w:rsidR="00211018" w:rsidRDefault="00211018" w:rsidP="00045C9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“Advancing EDI” now located within “Developing Others,” and “external engagement” separated out.</w:t>
      </w:r>
      <w:r w:rsid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br/>
      </w:r>
      <w:r w:rsidR="00045C9C" w:rsidRP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sym w:font="Wingdings" w:char="F0E0"/>
      </w:r>
      <w:r w:rsid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</w:t>
      </w:r>
      <w:r w:rsidRP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May improve clarity, but </w:t>
      </w:r>
      <w:r w:rsidRPr="00045C9C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risks narrowing</w:t>
      </w:r>
      <w:r w:rsidRP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recognition of EDI leadership to mentoring rather than systemic change.</w:t>
      </w:r>
      <w:r w:rsid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</w:t>
      </w:r>
      <w:r w:rsidR="00045C9C" w:rsidRP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Retaining a separate EDI criterion or explicit scoring element would signal continued institutional priority and allow proper recognition of accessibility and inclusion work</w:t>
      </w:r>
      <w:r w:rsidR="00045C9C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.</w:t>
      </w:r>
    </w:p>
    <w:p w14:paraId="7981D43A" w14:textId="56E8BDFB" w:rsidR="00A269FA" w:rsidRDefault="000D1F47" w:rsidP="00A269FA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9. Transition and Fairness</w:t>
      </w:r>
    </w:p>
    <w:p w14:paraId="7E394661" w14:textId="77777777" w:rsidR="000D1F47" w:rsidRPr="000D1F47" w:rsidRDefault="000D1F47" w:rsidP="000D1F47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0D1F47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Colleagues preparing promotion applications should be permitted to apply under the existing 2023–25 framework for at least one additional cycle to ensure fairness and continuity.</w:t>
      </w:r>
    </w:p>
    <w:p w14:paraId="212137DF" w14:textId="73673031" w:rsidR="00211018" w:rsidRPr="00211018" w:rsidRDefault="000D1F47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10</w:t>
      </w:r>
      <w:r w:rsidR="00211018"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. Revised references to institutional “values”</w:t>
      </w:r>
    </w:p>
    <w:p w14:paraId="12693763" w14:textId="77777777" w:rsidR="00211018" w:rsidRPr="00211018" w:rsidRDefault="00211018" w:rsidP="002110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“Upholding our values” now embedded throughout. UCU notes the need for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clear guidance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to ensure this remains developmental, not behavioural or disciplinary.</w:t>
      </w:r>
    </w:p>
    <w:p w14:paraId="697E8E7B" w14:textId="77777777" w:rsidR="00211018" w:rsidRPr="00211018" w:rsidRDefault="00000000" w:rsidP="00211018">
      <w:pPr>
        <w:spacing w:after="0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kern w:val="0"/>
          <w:sz w:val="24"/>
          <w:szCs w:val="24"/>
          <w:lang w:eastAsia="en-GB"/>
        </w:rPr>
        <w:pict w14:anchorId="5B282C3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72CE365" w14:textId="2B6277E6" w:rsidR="00211018" w:rsidRPr="00211018" w:rsidRDefault="004F2BA6" w:rsidP="00041C02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FEEDBACK ON </w:t>
      </w:r>
      <w:r w:rsidRPr="00211018">
        <w:rPr>
          <w:rFonts w:eastAsia="Times New Roman"/>
          <w:lang w:eastAsia="en-GB"/>
        </w:rPr>
        <w:t xml:space="preserve">TECHNICAL SPECIALIST PROMOTIONS </w:t>
      </w:r>
    </w:p>
    <w:p w14:paraId="501C63F2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1. Introduction of dedicated technical pathway (levels 4–7)</w:t>
      </w:r>
    </w:p>
    <w:p w14:paraId="6C3314FA" w14:textId="77777777" w:rsidR="00211018" w:rsidRPr="00211018" w:rsidRDefault="00211018" w:rsidP="002110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lastRenderedPageBreak/>
        <w:t>Major positive change recognising technical careers.</w:t>
      </w:r>
    </w:p>
    <w:p w14:paraId="7EB8A165" w14:textId="77777777" w:rsidR="00211018" w:rsidRDefault="00211018" w:rsidP="002110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However,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criteria closely mirror academic ones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and may not reflect the diversity of technical work (e.g. not all have research or teaching outputs).</w:t>
      </w:r>
    </w:p>
    <w:p w14:paraId="0E8C9D0A" w14:textId="3E0038B4" w:rsidR="000949C7" w:rsidRPr="00211018" w:rsidRDefault="000949C7" w:rsidP="002110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The </w:t>
      </w:r>
      <w:r w:rsidR="00D53E2B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Model and Criteria document refers to RKE</w:t>
      </w:r>
      <w:r w:rsidR="00D53E2B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vertAlign w:val="superscript"/>
          <w:lang w:eastAsia="en-GB"/>
          <w14:ligatures w14:val="none"/>
        </w:rPr>
        <w:t>1</w:t>
      </w:r>
      <w:r w:rsidR="00D53E2B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RKE</w:t>
      </w:r>
      <w:r w:rsidR="002412AE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vertAlign w:val="superscript"/>
          <w:lang w:eastAsia="en-GB"/>
          <w14:ligatures w14:val="none"/>
        </w:rPr>
        <w:t>2</w:t>
      </w:r>
      <w:r w:rsidR="002412AE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, RKE</w:t>
      </w:r>
      <w:r w:rsidR="002412AE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vertAlign w:val="superscript"/>
          <w:lang w:eastAsia="en-GB"/>
          <w14:ligatures w14:val="none"/>
        </w:rPr>
        <w:t>3</w:t>
      </w:r>
      <w:r w:rsidR="002412AE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but there are no footnotes attached.</w:t>
      </w:r>
    </w:p>
    <w:p w14:paraId="0C149329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2. “Opt-in” and pathway assessment process</w:t>
      </w:r>
    </w:p>
    <w:p w14:paraId="0C5E3BED" w14:textId="77777777" w:rsidR="00211018" w:rsidRPr="00211018" w:rsidRDefault="00211018" w:rsidP="002110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Requiring a line manager review before opting onto the pathway introduces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potential gatekeeping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. UCU recommends transparent guidance and appeal routes.</w:t>
      </w:r>
    </w:p>
    <w:p w14:paraId="162DB723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3. Alignment with academic structure but without “B” criteria</w:t>
      </w:r>
    </w:p>
    <w:p w14:paraId="72D76A7E" w14:textId="3F4F6379" w:rsidR="00211018" w:rsidRPr="00211018" w:rsidRDefault="00211018" w:rsidP="002110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Technical staff have A (essential) and C (optional) criteria only, with no “B” choice criteria.</w:t>
      </w:r>
      <w:r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There is a note on this, but no rationale other than “is not relevant”</w:t>
      </w:r>
    </w:p>
    <w:p w14:paraId="4D1D4721" w14:textId="77777777" w:rsidR="00211018" w:rsidRPr="00211018" w:rsidRDefault="00211018" w:rsidP="002110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This could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reduce flexibility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and lead to an “all or nothing” threshold.</w:t>
      </w:r>
    </w:p>
    <w:p w14:paraId="773E916E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4. Addition of new “Leading Technical Excellence” area</w:t>
      </w:r>
    </w:p>
    <w:p w14:paraId="365E1E00" w14:textId="77777777" w:rsidR="00211018" w:rsidRPr="00211018" w:rsidRDefault="00211018" w:rsidP="002110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Welcome recognition of technical expertise and leadership, but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expectations at higher levels mirror academic leadership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(committees, policy, external recognition), which may not fit all technical contexts.</w:t>
      </w:r>
    </w:p>
    <w:p w14:paraId="53B1B559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5. Expanded teaching and research recognition</w:t>
      </w:r>
    </w:p>
    <w:p w14:paraId="6386FEE2" w14:textId="77777777" w:rsidR="00211018" w:rsidRPr="00211018" w:rsidRDefault="00211018" w:rsidP="002110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Teaching and research versions of each area are defined (T vs R), which clarifies routes but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risks role drift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 if workload or job description does not support both.</w:t>
      </w:r>
    </w:p>
    <w:p w14:paraId="4CECFEFD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6. Requirement for sector or external recognition at higher levels</w:t>
      </w:r>
    </w:p>
    <w:p w14:paraId="3AFF166A" w14:textId="77777777" w:rsidR="00211018" w:rsidRPr="00211018" w:rsidRDefault="00211018" w:rsidP="002110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 xml:space="preserve">“Professor of Technical Practice” (Level 7) described as sector-leading, but </w:t>
      </w: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status and pay equivalence to academic professorial roles unclear</w:t>
      </w: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.</w:t>
      </w:r>
    </w:p>
    <w:p w14:paraId="670BA690" w14:textId="77777777" w:rsidR="00211018" w:rsidRPr="00211018" w:rsidRDefault="00211018" w:rsidP="00211018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b/>
          <w:bCs/>
          <w:noProof w:val="0"/>
          <w:kern w:val="0"/>
          <w:sz w:val="24"/>
          <w:szCs w:val="24"/>
          <w:lang w:eastAsia="en-GB"/>
          <w14:ligatures w14:val="none"/>
        </w:rPr>
        <w:t>7. Expectation of broader EDI and mentoring contributions</w:t>
      </w:r>
    </w:p>
    <w:p w14:paraId="4501DC25" w14:textId="77777777" w:rsidR="00211018" w:rsidRPr="00211018" w:rsidRDefault="00211018" w:rsidP="002110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Positive inclusion of EDI and mentoring as leadership evidence.</w:t>
      </w:r>
    </w:p>
    <w:p w14:paraId="73675E9D" w14:textId="77777777" w:rsidR="00211018" w:rsidRPr="00211018" w:rsidRDefault="00211018" w:rsidP="002110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</w:pPr>
      <w:r w:rsidRPr="00211018">
        <w:rPr>
          <w:rFonts w:asciiTheme="minorHAnsi" w:eastAsia="Times New Roman" w:hAnsiTheme="minorHAnsi" w:cs="Times New Roman"/>
          <w:noProof w:val="0"/>
          <w:kern w:val="0"/>
          <w:sz w:val="24"/>
          <w:szCs w:val="24"/>
          <w:lang w:eastAsia="en-GB"/>
          <w14:ligatures w14:val="none"/>
        </w:rPr>
        <w:t>Should be matched with recognition of time commitment and training support.</w:t>
      </w:r>
    </w:p>
    <w:p w14:paraId="2476E6F6" w14:textId="77777777" w:rsidR="008B0C7C" w:rsidRPr="00211018" w:rsidRDefault="008B0C7C">
      <w:pPr>
        <w:rPr>
          <w:rFonts w:asciiTheme="minorHAnsi" w:hAnsiTheme="minorHAnsi"/>
          <w:sz w:val="24"/>
          <w:szCs w:val="24"/>
        </w:rPr>
      </w:pPr>
    </w:p>
    <w:sectPr w:rsidR="008B0C7C" w:rsidRPr="00211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03F7"/>
    <w:multiLevelType w:val="multilevel"/>
    <w:tmpl w:val="6E00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22CAD"/>
    <w:multiLevelType w:val="multilevel"/>
    <w:tmpl w:val="3A04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C518C"/>
    <w:multiLevelType w:val="multilevel"/>
    <w:tmpl w:val="4372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CE78DF"/>
    <w:multiLevelType w:val="multilevel"/>
    <w:tmpl w:val="858A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A7572"/>
    <w:multiLevelType w:val="multilevel"/>
    <w:tmpl w:val="B768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65B51"/>
    <w:multiLevelType w:val="multilevel"/>
    <w:tmpl w:val="FF38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85A81"/>
    <w:multiLevelType w:val="multilevel"/>
    <w:tmpl w:val="8EFC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0F6025"/>
    <w:multiLevelType w:val="multilevel"/>
    <w:tmpl w:val="8D1A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A01712"/>
    <w:multiLevelType w:val="multilevel"/>
    <w:tmpl w:val="AB1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27E0B"/>
    <w:multiLevelType w:val="multilevel"/>
    <w:tmpl w:val="71D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817AB"/>
    <w:multiLevelType w:val="multilevel"/>
    <w:tmpl w:val="3CE6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C047F"/>
    <w:multiLevelType w:val="multilevel"/>
    <w:tmpl w:val="7842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035B3"/>
    <w:multiLevelType w:val="multilevel"/>
    <w:tmpl w:val="AB2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1E378C"/>
    <w:multiLevelType w:val="multilevel"/>
    <w:tmpl w:val="822A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9220B4"/>
    <w:multiLevelType w:val="multilevel"/>
    <w:tmpl w:val="9E50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50B45"/>
    <w:multiLevelType w:val="multilevel"/>
    <w:tmpl w:val="1B92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31A79"/>
    <w:multiLevelType w:val="multilevel"/>
    <w:tmpl w:val="792C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6109F1"/>
    <w:multiLevelType w:val="multilevel"/>
    <w:tmpl w:val="1B4E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823576"/>
    <w:multiLevelType w:val="multilevel"/>
    <w:tmpl w:val="791A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7120B"/>
    <w:multiLevelType w:val="multilevel"/>
    <w:tmpl w:val="CCFA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8422D9"/>
    <w:multiLevelType w:val="multilevel"/>
    <w:tmpl w:val="0D72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A4414"/>
    <w:multiLevelType w:val="multilevel"/>
    <w:tmpl w:val="EC22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645C2D"/>
    <w:multiLevelType w:val="multilevel"/>
    <w:tmpl w:val="F89A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B84FF5"/>
    <w:multiLevelType w:val="multilevel"/>
    <w:tmpl w:val="7AD4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F040FB5"/>
    <w:multiLevelType w:val="multilevel"/>
    <w:tmpl w:val="673C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0B2E32"/>
    <w:multiLevelType w:val="multilevel"/>
    <w:tmpl w:val="F4A0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42BDC"/>
    <w:multiLevelType w:val="multilevel"/>
    <w:tmpl w:val="9926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B6297D"/>
    <w:multiLevelType w:val="multilevel"/>
    <w:tmpl w:val="ACB8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A87953"/>
    <w:multiLevelType w:val="multilevel"/>
    <w:tmpl w:val="6BBA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527849"/>
    <w:multiLevelType w:val="multilevel"/>
    <w:tmpl w:val="D56C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087AD5"/>
    <w:multiLevelType w:val="multilevel"/>
    <w:tmpl w:val="2E68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0B2A08"/>
    <w:multiLevelType w:val="multilevel"/>
    <w:tmpl w:val="4AA2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4543DD"/>
    <w:multiLevelType w:val="multilevel"/>
    <w:tmpl w:val="7C04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5F5C76"/>
    <w:multiLevelType w:val="multilevel"/>
    <w:tmpl w:val="ABBC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494A0E"/>
    <w:multiLevelType w:val="multilevel"/>
    <w:tmpl w:val="6870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D76C6D"/>
    <w:multiLevelType w:val="multilevel"/>
    <w:tmpl w:val="DB82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C1A92"/>
    <w:multiLevelType w:val="multilevel"/>
    <w:tmpl w:val="EDDA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30E94"/>
    <w:multiLevelType w:val="multilevel"/>
    <w:tmpl w:val="DF7A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5A2E37"/>
    <w:multiLevelType w:val="hybridMultilevel"/>
    <w:tmpl w:val="77FC9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9E33F3"/>
    <w:multiLevelType w:val="multilevel"/>
    <w:tmpl w:val="4CA4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3537292">
    <w:abstractNumId w:val="5"/>
  </w:num>
  <w:num w:numId="2" w16cid:durableId="1671829533">
    <w:abstractNumId w:val="10"/>
  </w:num>
  <w:num w:numId="3" w16cid:durableId="743184108">
    <w:abstractNumId w:val="24"/>
  </w:num>
  <w:num w:numId="4" w16cid:durableId="645084973">
    <w:abstractNumId w:val="0"/>
  </w:num>
  <w:num w:numId="5" w16cid:durableId="1171219009">
    <w:abstractNumId w:val="32"/>
  </w:num>
  <w:num w:numId="6" w16cid:durableId="150565136">
    <w:abstractNumId w:val="11"/>
  </w:num>
  <w:num w:numId="7" w16cid:durableId="1050954006">
    <w:abstractNumId w:val="20"/>
  </w:num>
  <w:num w:numId="8" w16cid:durableId="1211071458">
    <w:abstractNumId w:val="7"/>
  </w:num>
  <w:num w:numId="9" w16cid:durableId="291330341">
    <w:abstractNumId w:val="30"/>
  </w:num>
  <w:num w:numId="10" w16cid:durableId="1197691531">
    <w:abstractNumId w:val="8"/>
  </w:num>
  <w:num w:numId="11" w16cid:durableId="2001932064">
    <w:abstractNumId w:val="34"/>
  </w:num>
  <w:num w:numId="12" w16cid:durableId="1650597493">
    <w:abstractNumId w:val="36"/>
  </w:num>
  <w:num w:numId="13" w16cid:durableId="62946111">
    <w:abstractNumId w:val="13"/>
  </w:num>
  <w:num w:numId="14" w16cid:durableId="742142449">
    <w:abstractNumId w:val="33"/>
  </w:num>
  <w:num w:numId="15" w16cid:durableId="1292663172">
    <w:abstractNumId w:val="12"/>
  </w:num>
  <w:num w:numId="16" w16cid:durableId="720715633">
    <w:abstractNumId w:val="1"/>
  </w:num>
  <w:num w:numId="17" w16cid:durableId="573778047">
    <w:abstractNumId w:val="35"/>
  </w:num>
  <w:num w:numId="18" w16cid:durableId="503664844">
    <w:abstractNumId w:val="26"/>
  </w:num>
  <w:num w:numId="19" w16cid:durableId="1894999501">
    <w:abstractNumId w:val="31"/>
  </w:num>
  <w:num w:numId="20" w16cid:durableId="990988042">
    <w:abstractNumId w:val="18"/>
  </w:num>
  <w:num w:numId="21" w16cid:durableId="218638080">
    <w:abstractNumId w:val="3"/>
  </w:num>
  <w:num w:numId="22" w16cid:durableId="1369917406">
    <w:abstractNumId w:val="29"/>
  </w:num>
  <w:num w:numId="23" w16cid:durableId="1943950015">
    <w:abstractNumId w:val="22"/>
  </w:num>
  <w:num w:numId="24" w16cid:durableId="1419249876">
    <w:abstractNumId w:val="19"/>
  </w:num>
  <w:num w:numId="25" w16cid:durableId="1883906804">
    <w:abstractNumId w:val="27"/>
  </w:num>
  <w:num w:numId="26" w16cid:durableId="2118787160">
    <w:abstractNumId w:val="15"/>
  </w:num>
  <w:num w:numId="27" w16cid:durableId="1020356009">
    <w:abstractNumId w:val="39"/>
  </w:num>
  <w:num w:numId="28" w16cid:durableId="581262550">
    <w:abstractNumId w:val="21"/>
  </w:num>
  <w:num w:numId="29" w16cid:durableId="865368205">
    <w:abstractNumId w:val="25"/>
  </w:num>
  <w:num w:numId="30" w16cid:durableId="1533882372">
    <w:abstractNumId w:val="6"/>
  </w:num>
  <w:num w:numId="31" w16cid:durableId="1923638202">
    <w:abstractNumId w:val="28"/>
  </w:num>
  <w:num w:numId="32" w16cid:durableId="1506704566">
    <w:abstractNumId w:val="9"/>
  </w:num>
  <w:num w:numId="33" w16cid:durableId="2144035581">
    <w:abstractNumId w:val="14"/>
  </w:num>
  <w:num w:numId="34" w16cid:durableId="867832622">
    <w:abstractNumId w:val="37"/>
  </w:num>
  <w:num w:numId="35" w16cid:durableId="1863548453">
    <w:abstractNumId w:val="17"/>
  </w:num>
  <w:num w:numId="36" w16cid:durableId="353657921">
    <w:abstractNumId w:val="4"/>
  </w:num>
  <w:num w:numId="37" w16cid:durableId="944456982">
    <w:abstractNumId w:val="16"/>
  </w:num>
  <w:num w:numId="38" w16cid:durableId="936982717">
    <w:abstractNumId w:val="23"/>
  </w:num>
  <w:num w:numId="39" w16cid:durableId="1942106314">
    <w:abstractNumId w:val="2"/>
  </w:num>
  <w:num w:numId="40" w16cid:durableId="98312636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018"/>
    <w:rsid w:val="00002ED4"/>
    <w:rsid w:val="00007D26"/>
    <w:rsid w:val="00017649"/>
    <w:rsid w:val="00041171"/>
    <w:rsid w:val="00041C02"/>
    <w:rsid w:val="00045C9C"/>
    <w:rsid w:val="000574A9"/>
    <w:rsid w:val="0007632D"/>
    <w:rsid w:val="000772F4"/>
    <w:rsid w:val="000949C7"/>
    <w:rsid w:val="000D1F47"/>
    <w:rsid w:val="001279ED"/>
    <w:rsid w:val="00131BC9"/>
    <w:rsid w:val="001C6842"/>
    <w:rsid w:val="001F5066"/>
    <w:rsid w:val="001F7B2D"/>
    <w:rsid w:val="00211018"/>
    <w:rsid w:val="0022232C"/>
    <w:rsid w:val="00231444"/>
    <w:rsid w:val="002315EA"/>
    <w:rsid w:val="00232507"/>
    <w:rsid w:val="002412AE"/>
    <w:rsid w:val="00261AA3"/>
    <w:rsid w:val="002B6B39"/>
    <w:rsid w:val="00337E47"/>
    <w:rsid w:val="00362023"/>
    <w:rsid w:val="00390391"/>
    <w:rsid w:val="003B1CD2"/>
    <w:rsid w:val="003B555E"/>
    <w:rsid w:val="003C7321"/>
    <w:rsid w:val="003D4F92"/>
    <w:rsid w:val="00404F85"/>
    <w:rsid w:val="0041428F"/>
    <w:rsid w:val="004B76C7"/>
    <w:rsid w:val="004F2BA6"/>
    <w:rsid w:val="005224F2"/>
    <w:rsid w:val="00546D8E"/>
    <w:rsid w:val="005B2053"/>
    <w:rsid w:val="005B4189"/>
    <w:rsid w:val="005D6FB0"/>
    <w:rsid w:val="005E2024"/>
    <w:rsid w:val="0060461D"/>
    <w:rsid w:val="00615707"/>
    <w:rsid w:val="00623F55"/>
    <w:rsid w:val="00631471"/>
    <w:rsid w:val="00636E80"/>
    <w:rsid w:val="00670B5B"/>
    <w:rsid w:val="00670E29"/>
    <w:rsid w:val="006B7F02"/>
    <w:rsid w:val="006C7EE5"/>
    <w:rsid w:val="006E6F95"/>
    <w:rsid w:val="006F5427"/>
    <w:rsid w:val="0070198E"/>
    <w:rsid w:val="0070552E"/>
    <w:rsid w:val="00717DD5"/>
    <w:rsid w:val="00794E89"/>
    <w:rsid w:val="007A2632"/>
    <w:rsid w:val="007C436B"/>
    <w:rsid w:val="007C79E9"/>
    <w:rsid w:val="007E46BC"/>
    <w:rsid w:val="008020AE"/>
    <w:rsid w:val="0082480F"/>
    <w:rsid w:val="008259BD"/>
    <w:rsid w:val="00840BBC"/>
    <w:rsid w:val="00866322"/>
    <w:rsid w:val="008676CC"/>
    <w:rsid w:val="008B0C7C"/>
    <w:rsid w:val="008B39FA"/>
    <w:rsid w:val="008E18B7"/>
    <w:rsid w:val="00902154"/>
    <w:rsid w:val="00922C70"/>
    <w:rsid w:val="009341B8"/>
    <w:rsid w:val="00986541"/>
    <w:rsid w:val="009A6FEE"/>
    <w:rsid w:val="009D01BE"/>
    <w:rsid w:val="009E7746"/>
    <w:rsid w:val="00A12B4A"/>
    <w:rsid w:val="00A269FA"/>
    <w:rsid w:val="00A3366B"/>
    <w:rsid w:val="00A4472D"/>
    <w:rsid w:val="00A71036"/>
    <w:rsid w:val="00A72C87"/>
    <w:rsid w:val="00A73229"/>
    <w:rsid w:val="00A95E7D"/>
    <w:rsid w:val="00B00610"/>
    <w:rsid w:val="00B03CBF"/>
    <w:rsid w:val="00B1022E"/>
    <w:rsid w:val="00B77A04"/>
    <w:rsid w:val="00B90167"/>
    <w:rsid w:val="00BA441D"/>
    <w:rsid w:val="00BA6659"/>
    <w:rsid w:val="00BD280C"/>
    <w:rsid w:val="00C23D30"/>
    <w:rsid w:val="00C27DE2"/>
    <w:rsid w:val="00C5270D"/>
    <w:rsid w:val="00C56100"/>
    <w:rsid w:val="00CB490E"/>
    <w:rsid w:val="00CE1B91"/>
    <w:rsid w:val="00CF1F30"/>
    <w:rsid w:val="00D15F56"/>
    <w:rsid w:val="00D53E2B"/>
    <w:rsid w:val="00D60F38"/>
    <w:rsid w:val="00D62452"/>
    <w:rsid w:val="00DA0059"/>
    <w:rsid w:val="00DA1E48"/>
    <w:rsid w:val="00DA7368"/>
    <w:rsid w:val="00DE63C0"/>
    <w:rsid w:val="00DF4210"/>
    <w:rsid w:val="00E12D0D"/>
    <w:rsid w:val="00E606A6"/>
    <w:rsid w:val="00E7444C"/>
    <w:rsid w:val="00EA00A3"/>
    <w:rsid w:val="00EA19C5"/>
    <w:rsid w:val="00F17565"/>
    <w:rsid w:val="00F32959"/>
    <w:rsid w:val="00F51CD3"/>
    <w:rsid w:val="00F90751"/>
    <w:rsid w:val="00FA27CD"/>
    <w:rsid w:val="00FB6CEA"/>
    <w:rsid w:val="00FE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BC90A"/>
  <w15:chartTrackingRefBased/>
  <w15:docId w15:val="{8789F4A3-33C2-4A1E-A257-61AA7B57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1BE"/>
    <w:rPr>
      <w:rFonts w:ascii="Verdana" w:hAnsi="Verdana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7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0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0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0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0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0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0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0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751"/>
    <w:rPr>
      <w:rFonts w:asciiTheme="majorHAnsi" w:eastAsiaTheme="majorEastAsia" w:hAnsiTheme="majorHAnsi" w:cstheme="majorBidi"/>
      <w:noProof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01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018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018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018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018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018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018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018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7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751"/>
    <w:rPr>
      <w:rFonts w:asciiTheme="majorHAnsi" w:eastAsiaTheme="majorEastAsia" w:hAnsiTheme="majorHAnsi" w:cstheme="majorBidi"/>
      <w:noProof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0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018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018"/>
    <w:rPr>
      <w:rFonts w:ascii="Verdana" w:hAnsi="Verdana"/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018"/>
    <w:rPr>
      <w:rFonts w:ascii="Verdana" w:hAnsi="Verdana"/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0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1245</Words>
  <Characters>7424</Characters>
  <Application>Microsoft Office Word</Application>
  <DocSecurity>0</DocSecurity>
  <Lines>140</Lines>
  <Paragraphs>69</Paragraphs>
  <ScaleCrop>false</ScaleCrop>
  <Company>University of Nottingham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Bhend (staff)</dc:creator>
  <cp:keywords/>
  <dc:description/>
  <cp:lastModifiedBy>Melanie Bhend (staff)</cp:lastModifiedBy>
  <cp:revision>105</cp:revision>
  <dcterms:created xsi:type="dcterms:W3CDTF">2025-10-10T14:26:00Z</dcterms:created>
  <dcterms:modified xsi:type="dcterms:W3CDTF">2025-10-20T15:08:00Z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cbf4b2ee-6bb3-467f-8ea5-0be739bb1f25</vt:lpwstr>
  </property>
</Properties>
</file>